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13CAA33F">
        <w:trPr>
          <w:trHeight w:val="3045"/>
        </w:trPr>
        <w:tc>
          <w:tcPr>
            <w:tcW w:w="2684" w:type="dxa"/>
            <w:shd w:val="clear" w:color="auto" w:fill="FFEFFF"/>
          </w:tcPr>
          <w:p w14:paraId="272EA4DF" w14:textId="2ED9DB65" w:rsidR="008E39B4" w:rsidRPr="00740558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3958B6F0" w14:textId="77777777" w:rsidR="00473982" w:rsidRPr="00473982" w:rsidRDefault="00473982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>The 19</w:t>
            </w:r>
            <w:r w:rsidRPr="13CAA33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13CAA33F">
              <w:rPr>
                <w:b/>
                <w:bCs/>
                <w:sz w:val="20"/>
                <w:szCs w:val="20"/>
              </w:rPr>
              <w:t xml:space="preserve"> Century Novel</w:t>
            </w:r>
          </w:p>
          <w:p w14:paraId="42BF2D1F" w14:textId="2A970CAE" w:rsidR="00473982" w:rsidRPr="00473982" w:rsidRDefault="00473982" w:rsidP="13CAA33F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13CAA33F">
              <w:rPr>
                <w:i/>
                <w:iCs/>
                <w:sz w:val="20"/>
                <w:szCs w:val="20"/>
              </w:rPr>
              <w:t>Either:</w:t>
            </w:r>
          </w:p>
          <w:p w14:paraId="1CB125D0" w14:textId="678C9110" w:rsidR="2496B7DF" w:rsidRDefault="00473982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A Christmas Carol</w:t>
            </w:r>
          </w:p>
          <w:p w14:paraId="06226286" w14:textId="436925C3" w:rsidR="13CAA33F" w:rsidRDefault="13CAA33F" w:rsidP="13CAA33F">
            <w:pPr>
              <w:rPr>
                <w:sz w:val="20"/>
                <w:szCs w:val="20"/>
              </w:rPr>
            </w:pPr>
            <w:r w:rsidRPr="13CAA33F">
              <w:rPr>
                <w:i/>
                <w:iCs/>
                <w:sz w:val="20"/>
                <w:szCs w:val="20"/>
              </w:rPr>
              <w:t>or</w:t>
            </w:r>
          </w:p>
          <w:p w14:paraId="656A8B3D" w14:textId="0093F077" w:rsidR="00473982" w:rsidRDefault="00473982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The Strange Case of Dr Jekyll and Mr Hyde </w:t>
            </w:r>
          </w:p>
          <w:p w14:paraId="757809B9" w14:textId="2E2E630A" w:rsidR="00740558" w:rsidRPr="00740558" w:rsidRDefault="6DE4B3EA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i/>
                <w:iCs/>
                <w:sz w:val="20"/>
                <w:szCs w:val="20"/>
              </w:rPr>
              <w:t>*Your class teacher will specify which text*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0205F4F7" w14:textId="0490D77A" w:rsidR="00740558" w:rsidRPr="00BA7D74" w:rsidRDefault="00BA7D74" w:rsidP="13CAA3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will</w:t>
            </w:r>
            <w:r w:rsidR="00740723" w:rsidRPr="13CAA33F">
              <w:rPr>
                <w:sz w:val="20"/>
                <w:szCs w:val="20"/>
              </w:rPr>
              <w:t xml:space="preserve"> have a thorough understanding of the text in its entirety, </w:t>
            </w:r>
            <w:r w:rsidRPr="13CAA33F">
              <w:rPr>
                <w:sz w:val="20"/>
                <w:szCs w:val="20"/>
              </w:rPr>
              <w:t>including</w:t>
            </w:r>
            <w:r w:rsidR="00740723" w:rsidRPr="13CAA33F">
              <w:rPr>
                <w:sz w:val="20"/>
                <w:szCs w:val="20"/>
              </w:rPr>
              <w:t xml:space="preserve"> characters, plot, themes, writer’s methods</w:t>
            </w:r>
            <w:r w:rsidR="0053232D" w:rsidRPr="13CAA33F">
              <w:rPr>
                <w:sz w:val="20"/>
                <w:szCs w:val="20"/>
              </w:rPr>
              <w:t xml:space="preserve"> </w:t>
            </w:r>
            <w:r w:rsidR="00740723" w:rsidRPr="13CAA33F">
              <w:rPr>
                <w:sz w:val="20"/>
                <w:szCs w:val="20"/>
              </w:rPr>
              <w:t>and contex</w:t>
            </w:r>
            <w:r w:rsidR="0053232D" w:rsidRPr="13CAA33F">
              <w:rPr>
                <w:sz w:val="20"/>
                <w:szCs w:val="20"/>
              </w:rPr>
              <w:t xml:space="preserve">t. </w:t>
            </w:r>
            <w:r>
              <w:rPr>
                <w:sz w:val="20"/>
                <w:szCs w:val="20"/>
              </w:rPr>
              <w:t>You will</w:t>
            </w:r>
            <w:r w:rsidR="0053232D" w:rsidRPr="13CAA33F">
              <w:rPr>
                <w:sz w:val="20"/>
                <w:szCs w:val="20"/>
              </w:rPr>
              <w:t xml:space="preserve"> develop skills from KS3 in writing analytical essays on texts.</w:t>
            </w:r>
            <w:r>
              <w:rPr>
                <w:sz w:val="20"/>
                <w:szCs w:val="20"/>
              </w:rPr>
              <w:t xml:space="preserve"> You will</w:t>
            </w:r>
            <w:r w:rsidR="0053232D" w:rsidRPr="13CAA33F">
              <w:rPr>
                <w:sz w:val="20"/>
                <w:szCs w:val="20"/>
              </w:rPr>
              <w:t xml:space="preserve"> understand the construction of the exam questions.</w:t>
            </w:r>
          </w:p>
          <w:p w14:paraId="16E208BA" w14:textId="77777777" w:rsidR="00740558" w:rsidRPr="00996496" w:rsidRDefault="00740558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This is compulsory GCSE English Literature component. </w:t>
            </w:r>
          </w:p>
          <w:p w14:paraId="4C75361B" w14:textId="7155D7D5" w:rsidR="00740558" w:rsidRPr="00811F13" w:rsidRDefault="00740558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>Your studied text will be a</w:t>
            </w:r>
            <w:r w:rsidR="00996496" w:rsidRPr="13CAA33F">
              <w:rPr>
                <w:b/>
                <w:bCs/>
                <w:sz w:val="20"/>
                <w:szCs w:val="20"/>
              </w:rPr>
              <w:t>n</w:t>
            </w:r>
            <w:r w:rsidRPr="13CAA33F">
              <w:rPr>
                <w:b/>
                <w:bCs/>
                <w:sz w:val="20"/>
                <w:szCs w:val="20"/>
              </w:rPr>
              <w:t xml:space="preserve"> </w:t>
            </w:r>
            <w:r w:rsidR="00996496" w:rsidRPr="13CAA33F">
              <w:rPr>
                <w:b/>
                <w:bCs/>
                <w:sz w:val="20"/>
                <w:szCs w:val="20"/>
              </w:rPr>
              <w:t>examined part</w:t>
            </w:r>
            <w:r w:rsidRPr="13CAA33F">
              <w:rPr>
                <w:b/>
                <w:bCs/>
                <w:sz w:val="20"/>
                <w:szCs w:val="20"/>
              </w:rPr>
              <w:t xml:space="preserve"> of your English Literature</w:t>
            </w:r>
            <w:r w:rsidR="00996496" w:rsidRPr="13CAA33F">
              <w:rPr>
                <w:b/>
                <w:bCs/>
                <w:sz w:val="20"/>
                <w:szCs w:val="20"/>
              </w:rPr>
              <w:t xml:space="preserve"> GCSE.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13CAA33F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23CB23C7" w14:textId="59C1D130" w:rsidR="008E39B4" w:rsidRPr="00C10295" w:rsidRDefault="0053232D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>19</w:t>
            </w:r>
            <w:r w:rsidRPr="13CAA33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13CAA33F">
              <w:rPr>
                <w:b/>
                <w:bCs/>
                <w:sz w:val="20"/>
                <w:szCs w:val="20"/>
              </w:rPr>
              <w:t xml:space="preserve"> Century/key vocabulary:</w:t>
            </w:r>
          </w:p>
          <w:p w14:paraId="7D7317E9" w14:textId="3A049D00" w:rsidR="0053232D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Victorian</w:t>
            </w:r>
          </w:p>
          <w:p w14:paraId="5E07DD85" w14:textId="5476F46C" w:rsidR="0053232D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Genre</w:t>
            </w:r>
          </w:p>
          <w:p w14:paraId="728BAF05" w14:textId="16A04B88" w:rsidR="0053232D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Characteristics</w:t>
            </w:r>
          </w:p>
          <w:p w14:paraId="1E7E5BFA" w14:textId="2A6D9803" w:rsidR="0053232D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Intent</w:t>
            </w:r>
          </w:p>
          <w:p w14:paraId="496D6AA1" w14:textId="20A6DE76" w:rsidR="0053232D" w:rsidRDefault="0053232D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Portrayal</w:t>
            </w:r>
          </w:p>
          <w:p w14:paraId="70013DCE" w14:textId="51D62003" w:rsidR="0053232D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Contextually</w:t>
            </w:r>
          </w:p>
          <w:p w14:paraId="1E96E79C" w14:textId="01B3BB38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Analytically</w:t>
            </w:r>
          </w:p>
          <w:p w14:paraId="6721FECD" w14:textId="05092572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Explicit/Implicit</w:t>
            </w:r>
          </w:p>
          <w:p w14:paraId="37E8E00B" w14:textId="77777777" w:rsidR="00BA7D74" w:rsidRPr="00996496" w:rsidRDefault="00BA7D74" w:rsidP="00BA7D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A Christmas Carol </w:t>
            </w:r>
            <w:r w:rsidRPr="13CAA33F">
              <w:rPr>
                <w:b/>
                <w:bCs/>
                <w:sz w:val="20"/>
                <w:szCs w:val="20"/>
                <w:u w:val="single"/>
              </w:rPr>
              <w:t>only</w:t>
            </w:r>
            <w:r w:rsidRPr="13CAA33F">
              <w:rPr>
                <w:b/>
                <w:bCs/>
                <w:sz w:val="20"/>
                <w:szCs w:val="20"/>
              </w:rPr>
              <w:t>:</w:t>
            </w:r>
          </w:p>
          <w:p w14:paraId="7BE7CC80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Responsibility</w:t>
            </w:r>
          </w:p>
          <w:p w14:paraId="069D47C9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Benevolence</w:t>
            </w:r>
          </w:p>
          <w:p w14:paraId="5AD7921B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Christianity</w:t>
            </w:r>
          </w:p>
          <w:p w14:paraId="1B0CF678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Friendship</w:t>
            </w:r>
          </w:p>
          <w:p w14:paraId="5B581935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Social Reform</w:t>
            </w:r>
          </w:p>
          <w:p w14:paraId="5DCBE842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Poverty</w:t>
            </w:r>
          </w:p>
          <w:p w14:paraId="729A1C4B" w14:textId="77777777" w:rsidR="00BA7D74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Misanthropy</w:t>
            </w:r>
          </w:p>
          <w:p w14:paraId="56B08C47" w14:textId="1D3C4DCD" w:rsidR="0053232D" w:rsidRDefault="00BA7D74" w:rsidP="00BA7D74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Charitable</w:t>
            </w:r>
          </w:p>
          <w:p w14:paraId="51B03516" w14:textId="77777777" w:rsidR="0053232D" w:rsidRPr="00996496" w:rsidRDefault="0053232D" w:rsidP="13CAA3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Jekyll and Hyde </w:t>
            </w:r>
            <w:r w:rsidRPr="13CAA33F">
              <w:rPr>
                <w:b/>
                <w:bCs/>
                <w:sz w:val="20"/>
                <w:szCs w:val="20"/>
                <w:u w:val="single"/>
              </w:rPr>
              <w:t>only</w:t>
            </w:r>
            <w:r w:rsidRPr="13CAA33F">
              <w:rPr>
                <w:b/>
                <w:bCs/>
                <w:sz w:val="20"/>
                <w:szCs w:val="20"/>
              </w:rPr>
              <w:t>:</w:t>
            </w:r>
          </w:p>
          <w:p w14:paraId="1EDCBEB2" w14:textId="6F0209BA" w:rsidR="0053232D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Duplicitous</w:t>
            </w:r>
          </w:p>
          <w:p w14:paraId="3C3C1E2E" w14:textId="65CD303A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Duality</w:t>
            </w:r>
          </w:p>
          <w:p w14:paraId="0BC01750" w14:textId="594D38E7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Morality</w:t>
            </w:r>
          </w:p>
          <w:p w14:paraId="028CDBF9" w14:textId="3DF88969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Dishonour</w:t>
            </w:r>
          </w:p>
          <w:p w14:paraId="02BC488E" w14:textId="7D3046E8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Scandalous</w:t>
            </w:r>
          </w:p>
          <w:p w14:paraId="1988B83A" w14:textId="6370098C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Scientific</w:t>
            </w:r>
          </w:p>
          <w:p w14:paraId="37794AC1" w14:textId="401D2CF1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Desire</w:t>
            </w:r>
          </w:p>
          <w:p w14:paraId="3A51F14B" w14:textId="3A028B46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Loyalty</w:t>
            </w:r>
          </w:p>
          <w:p w14:paraId="0D0FD013" w14:textId="77777777" w:rsidR="00C10295" w:rsidRDefault="00C10295" w:rsidP="13CAA33F">
            <w:pPr>
              <w:rPr>
                <w:color w:val="000000" w:themeColor="text1"/>
                <w:sz w:val="20"/>
                <w:szCs w:val="20"/>
              </w:rPr>
            </w:pPr>
          </w:p>
          <w:p w14:paraId="49147324" w14:textId="683798AC" w:rsidR="00C10295" w:rsidRPr="00811F13" w:rsidRDefault="00C10295" w:rsidP="13CAA33F">
            <w:p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 </w:t>
            </w:r>
          </w:p>
        </w:tc>
      </w:tr>
      <w:tr w:rsidR="008E39B4" w:rsidRPr="00F9765D" w14:paraId="70713B32" w14:textId="77777777" w:rsidTr="13CAA33F">
        <w:trPr>
          <w:trHeight w:val="4950"/>
        </w:trPr>
        <w:tc>
          <w:tcPr>
            <w:tcW w:w="8070" w:type="dxa"/>
            <w:gridSpan w:val="2"/>
            <w:shd w:val="clear" w:color="auto" w:fill="FFEFFF"/>
          </w:tcPr>
          <w:p w14:paraId="7CDF61FB" w14:textId="67BA5A7D" w:rsidR="008E39B4" w:rsidRPr="00740723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2530B355" w14:textId="7E0DEBAA" w:rsidR="00740723" w:rsidRPr="00560E1E" w:rsidRDefault="00BA7D74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13CAA33F" w:rsidRPr="00560E1E">
              <w:rPr>
                <w:rFonts w:ascii="Calibri" w:eastAsia="Calibri" w:hAnsi="Calibri" w:cs="Calibri"/>
                <w:sz w:val="20"/>
                <w:szCs w:val="20"/>
              </w:rPr>
              <w:t>o be able to read a text and understand it. (AO1)</w:t>
            </w:r>
          </w:p>
          <w:p w14:paraId="24E94EBB" w14:textId="00186534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read a text independently and with support. (AO1)</w:t>
            </w:r>
          </w:p>
          <w:p w14:paraId="2FAF8DDB" w14:textId="57F1237C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comment on the plot of a text. (AO1)</w:t>
            </w:r>
          </w:p>
          <w:p w14:paraId="21829EF7" w14:textId="725EF7D7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give a personal response to a text, using quotations or textual references to illustrate interpretations. (AO1)</w:t>
            </w:r>
          </w:p>
          <w:p w14:paraId="78B3835A" w14:textId="31A46371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analyse elements of language, form and structure. (AO2)</w:t>
            </w:r>
          </w:p>
          <w:p w14:paraId="4CF84EC4" w14:textId="1F08765B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analyse how writers create meaning and effects. (AO2)</w:t>
            </w:r>
          </w:p>
          <w:p w14:paraId="43E74DE5" w14:textId="017A604B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use relevant subject terminology to explain writer's intentions or methods. (AO2)</w:t>
            </w:r>
          </w:p>
          <w:p w14:paraId="62DD758C" w14:textId="5550DA66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comment on a text's context, including the relationship between texts and the contexts in which they were written. (AO3)</w:t>
            </w:r>
          </w:p>
          <w:p w14:paraId="284128B3" w14:textId="39D696B6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use a range of appropriate vocabulary. (AO4)</w:t>
            </w:r>
          </w:p>
          <w:p w14:paraId="4B38E853" w14:textId="7454EB02" w:rsidR="00740723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use a variety of sentence structures for clarity, purpose and effect. (AO4)</w:t>
            </w:r>
          </w:p>
          <w:p w14:paraId="704CD9BE" w14:textId="2255B59B" w:rsidR="00560E1E" w:rsidRPr="00560E1E" w:rsidRDefault="13CAA33F" w:rsidP="13CAA33F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60E1E">
              <w:rPr>
                <w:rFonts w:ascii="Calibri" w:eastAsia="Calibri" w:hAnsi="Calibri" w:cs="Calibri"/>
                <w:sz w:val="20"/>
                <w:szCs w:val="20"/>
              </w:rPr>
              <w:t>To be able to write using accurate punctuation and grammar.  (AO4)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13CAA33F">
        <w:trPr>
          <w:trHeight w:val="2115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1DC5FBDA" w14:textId="7399B2E2" w:rsidR="00473982" w:rsidRDefault="00473982" w:rsidP="13CAA33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eastAsiaTheme="minorEastAsia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EMC magazine </w:t>
            </w:r>
            <w:r w:rsidR="13CAA33F" w:rsidRPr="13CAA33F">
              <w:rPr>
                <w:sz w:val="20"/>
                <w:szCs w:val="20"/>
              </w:rPr>
              <w:t>(Username: Highcliffe School        Password:Highcliffe1)</w:t>
            </w:r>
          </w:p>
          <w:p w14:paraId="11598806" w14:textId="4E44E6DE" w:rsidR="00473982" w:rsidRPr="00473982" w:rsidRDefault="00473982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British Library online</w:t>
            </w:r>
          </w:p>
          <w:p w14:paraId="3D5ADA95" w14:textId="3A4D80D4" w:rsidR="00473982" w:rsidRPr="00473982" w:rsidRDefault="00473982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13CAA33F">
              <w:rPr>
                <w:sz w:val="20"/>
                <w:szCs w:val="20"/>
              </w:rPr>
              <w:t>Massolit</w:t>
            </w:r>
            <w:proofErr w:type="spellEnd"/>
            <w:r w:rsidRPr="13CAA33F">
              <w:rPr>
                <w:sz w:val="20"/>
                <w:szCs w:val="20"/>
              </w:rPr>
              <w:t xml:space="preserve"> (Create an account using your Highcliffe email account)</w:t>
            </w:r>
          </w:p>
          <w:p w14:paraId="451AC3B1" w14:textId="036F7878" w:rsidR="00473982" w:rsidRDefault="00740723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SENECA </w:t>
            </w:r>
          </w:p>
          <w:p w14:paraId="4D5A5FA8" w14:textId="5F32AF3C" w:rsidR="13CAA33F" w:rsidRDefault="13CAA33F" w:rsidP="13CAA33F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Digital Theatre (Username: students@highcliffeschool.com   Password:students01)</w:t>
            </w:r>
          </w:p>
          <w:p w14:paraId="4B18E326" w14:textId="79781C3E" w:rsidR="00740723" w:rsidRPr="00740723" w:rsidRDefault="6DE4B3EA" w:rsidP="13CAA33F">
            <w:pPr>
              <w:rPr>
                <w:b/>
                <w:bCs/>
                <w:sz w:val="20"/>
                <w:szCs w:val="20"/>
                <w:u w:val="single"/>
              </w:rPr>
            </w:pPr>
            <w:r w:rsidRPr="13CAA33F">
              <w:rPr>
                <w:sz w:val="20"/>
                <w:szCs w:val="20"/>
              </w:rPr>
              <w:t>W</w:t>
            </w:r>
            <w:r w:rsidRPr="13CAA33F">
              <w:rPr>
                <w:b/>
                <w:bCs/>
                <w:sz w:val="20"/>
                <w:szCs w:val="20"/>
                <w:u w:val="single"/>
              </w:rPr>
              <w:t>hat similar texts might I enjoy?</w:t>
            </w:r>
          </w:p>
          <w:p w14:paraId="5774EA5A" w14:textId="6D2F0B01" w:rsidR="00740723" w:rsidRPr="00740723" w:rsidRDefault="13CAA33F" w:rsidP="13CAA33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>A Picture of Dorian Grey – Oscar Wilde</w:t>
            </w:r>
          </w:p>
          <w:p w14:paraId="001E2D6F" w14:textId="76F48717" w:rsidR="00740723" w:rsidRPr="00740723" w:rsidRDefault="13CAA33F" w:rsidP="13CAA33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The Woman in White – </w:t>
            </w:r>
            <w:proofErr w:type="spellStart"/>
            <w:r w:rsidRPr="13CAA33F">
              <w:rPr>
                <w:sz w:val="20"/>
                <w:szCs w:val="20"/>
              </w:rPr>
              <w:t>Wilkie</w:t>
            </w:r>
            <w:proofErr w:type="spellEnd"/>
            <w:r w:rsidRPr="13CAA33F">
              <w:rPr>
                <w:sz w:val="20"/>
                <w:szCs w:val="20"/>
              </w:rPr>
              <w:t xml:space="preserve"> Collins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13CAA33F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C19F758" w14:textId="550CE687" w:rsidR="00996496" w:rsidRPr="00473982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5AA3A0AB" w14:textId="5D9F8DF2" w:rsidR="00811F13" w:rsidRPr="00740558" w:rsidRDefault="00473982" w:rsidP="13CAA33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sz w:val="20"/>
                <w:szCs w:val="20"/>
              </w:rPr>
              <w:t xml:space="preserve">Formal in class- assessments using exam style essay </w:t>
            </w:r>
            <w:r w:rsidR="001246DA" w:rsidRPr="13CAA33F">
              <w:rPr>
                <w:sz w:val="20"/>
                <w:szCs w:val="20"/>
              </w:rPr>
              <w:t>questions.</w:t>
            </w:r>
          </w:p>
          <w:p w14:paraId="7C953E82" w14:textId="76C09103" w:rsidR="00811F13" w:rsidRPr="00BA7D74" w:rsidRDefault="6DE4B3EA" w:rsidP="13CAA33F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13CAA33F">
              <w:rPr>
                <w:sz w:val="20"/>
                <w:szCs w:val="20"/>
              </w:rPr>
              <w:t xml:space="preserve">Internal Mock Examinations 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60E1E" w:rsidP="008E39B4"/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92349A"/>
    <w:multiLevelType w:val="hybridMultilevel"/>
    <w:tmpl w:val="7F765D60"/>
    <w:lvl w:ilvl="0" w:tplc="B5D66A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544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08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7E4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C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0D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C9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E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40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246DA"/>
    <w:rsid w:val="002B0167"/>
    <w:rsid w:val="003E6B6F"/>
    <w:rsid w:val="00440E6C"/>
    <w:rsid w:val="00473982"/>
    <w:rsid w:val="00487E07"/>
    <w:rsid w:val="0053232D"/>
    <w:rsid w:val="00560E1E"/>
    <w:rsid w:val="005F4E99"/>
    <w:rsid w:val="007146EF"/>
    <w:rsid w:val="00740558"/>
    <w:rsid w:val="00740723"/>
    <w:rsid w:val="00811F13"/>
    <w:rsid w:val="0083335D"/>
    <w:rsid w:val="00847F4E"/>
    <w:rsid w:val="00867D25"/>
    <w:rsid w:val="008B1952"/>
    <w:rsid w:val="008E39B4"/>
    <w:rsid w:val="00996496"/>
    <w:rsid w:val="00A23F48"/>
    <w:rsid w:val="00A314F1"/>
    <w:rsid w:val="00BA646E"/>
    <w:rsid w:val="00BA7D74"/>
    <w:rsid w:val="00C10295"/>
    <w:rsid w:val="00CA59AB"/>
    <w:rsid w:val="00D9FFC5"/>
    <w:rsid w:val="00DB0006"/>
    <w:rsid w:val="00DC23A5"/>
    <w:rsid w:val="00E5371A"/>
    <w:rsid w:val="00F43D58"/>
    <w:rsid w:val="00F9765D"/>
    <w:rsid w:val="00FB7D5A"/>
    <w:rsid w:val="00FE1C68"/>
    <w:rsid w:val="030AFF33"/>
    <w:rsid w:val="13CAA33F"/>
    <w:rsid w:val="14A1F3FB"/>
    <w:rsid w:val="163DC45C"/>
    <w:rsid w:val="2496B7DF"/>
    <w:rsid w:val="24C1DC51"/>
    <w:rsid w:val="24FEF7C8"/>
    <w:rsid w:val="2796DD49"/>
    <w:rsid w:val="28A97807"/>
    <w:rsid w:val="2C01F3DF"/>
    <w:rsid w:val="2D3CFB7C"/>
    <w:rsid w:val="369363DB"/>
    <w:rsid w:val="3B8C4A9C"/>
    <w:rsid w:val="43DF5265"/>
    <w:rsid w:val="4A313DA7"/>
    <w:rsid w:val="4C7D6B88"/>
    <w:rsid w:val="54ADC255"/>
    <w:rsid w:val="557C4060"/>
    <w:rsid w:val="571810C1"/>
    <w:rsid w:val="5F2322A6"/>
    <w:rsid w:val="621D4565"/>
    <w:rsid w:val="68037467"/>
    <w:rsid w:val="68B0DC8F"/>
    <w:rsid w:val="6DE4B3EA"/>
    <w:rsid w:val="71AFB167"/>
    <w:rsid w:val="7368757E"/>
    <w:rsid w:val="773BBD5E"/>
    <w:rsid w:val="77A578B1"/>
    <w:rsid w:val="7941491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metadata/properties"/>
    <ds:schemaRef ds:uri="b3af7d56-9b4c-4c42-8b1e-5ddd38c2b0df"/>
    <ds:schemaRef ds:uri="http://schemas.microsoft.com/office/infopath/2007/PartnerControls"/>
    <ds:schemaRef ds:uri="15907209-fc58-4a74-ba24-276247b06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Company>Highcliffe School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3</cp:revision>
  <dcterms:created xsi:type="dcterms:W3CDTF">2022-06-06T09:05:00Z</dcterms:created>
  <dcterms:modified xsi:type="dcterms:W3CDTF">2022-06-06T10:28:00Z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